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E65C60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65C60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E65C6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E65C60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E65C60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E65C60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E65C60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65C60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E65C60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E65C60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E65C60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E65C60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E65C60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E65C6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E65C60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65C60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E65C60">
        <w:rPr>
          <w:rFonts w:ascii="Arial" w:hAnsi="Arial" w:cs="Arial"/>
          <w:b/>
          <w:sz w:val="16"/>
          <w:szCs w:val="16"/>
          <w:lang w:val="fr-FR"/>
        </w:rPr>
        <w:tab/>
      </w:r>
      <w:r w:rsidRPr="00E65C60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E65C60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3174D734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</w:t>
      </w:r>
    </w:p>
    <w:p w14:paraId="7B50807E" w14:textId="01D8D78D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40F59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F9661E">
        <w:rPr>
          <w:rFonts w:ascii="Arial" w:hAnsi="Arial" w:cs="Arial"/>
          <w:sz w:val="16"/>
          <w:szCs w:val="16"/>
        </w:rPr>
        <w:t>30</w:t>
      </w:r>
      <w:r w:rsidR="00926435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6A70B76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</w:t>
      </w:r>
    </w:p>
    <w:p w14:paraId="434D9E89" w14:textId="63EE6614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DEE759" w14:textId="013928F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</w:t>
      </w:r>
    </w:p>
    <w:p w14:paraId="0CEEA585" w14:textId="08E53BD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</w:t>
      </w:r>
    </w:p>
    <w:p w14:paraId="3A50963D" w14:textId="5D354BBF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</w:p>
    <w:p w14:paraId="4BCEED19" w14:textId="60A7BCE8" w:rsidR="002062D4" w:rsidRDefault="002062D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</w:t>
      </w:r>
    </w:p>
    <w:p w14:paraId="1FA63EBD" w14:textId="1E0702A0" w:rsidR="002F0BB5" w:rsidRDefault="002F0B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afhanghoogte is variabel</w:t>
      </w:r>
      <w:r w:rsidR="003367DB">
        <w:rPr>
          <w:rFonts w:ascii="Arial" w:hAnsi="Arial" w:cs="Arial"/>
          <w:sz w:val="16"/>
          <w:szCs w:val="16"/>
        </w:rPr>
        <w:t xml:space="preserve">, afhankelijk van de toegepaste </w:t>
      </w:r>
      <w:proofErr w:type="spellStart"/>
      <w:r w:rsidR="003367DB">
        <w:rPr>
          <w:rFonts w:ascii="Arial" w:hAnsi="Arial" w:cs="Arial"/>
          <w:sz w:val="16"/>
          <w:szCs w:val="16"/>
        </w:rPr>
        <w:t>snelophanger</w:t>
      </w:r>
      <w:proofErr w:type="spellEnd"/>
      <w:r w:rsidR="003367DB">
        <w:rPr>
          <w:rFonts w:ascii="Arial" w:hAnsi="Arial" w:cs="Arial"/>
          <w:sz w:val="16"/>
          <w:szCs w:val="16"/>
        </w:rPr>
        <w:t>. De minimale afhanghoogte is 90 mm</w:t>
      </w:r>
    </w:p>
    <w:p w14:paraId="6CA99489" w14:textId="0DFC6EA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1283514E" w14:textId="3F4B5B6F" w:rsidR="002062D4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0CA7B1A9" w14:textId="77777777" w:rsidR="00E65C60" w:rsidRPr="00E97E78" w:rsidRDefault="00E65C60" w:rsidP="00E65C6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2B5C641" w:rsidR="000D6144" w:rsidRPr="002062D4" w:rsidRDefault="000D614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>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645284C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8FC8CE5" w14:textId="77777777" w:rsidR="00F72E17" w:rsidRPr="002620AB" w:rsidRDefault="00F72E17" w:rsidP="00F72E1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44C4034A" w:rsidR="00C71112" w:rsidRPr="002062D4" w:rsidRDefault="002062D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 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9EF2C13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E65C60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65C6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65C6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65C6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65C6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65C60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E65C6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65C60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086728B2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062D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E387" w14:textId="77777777" w:rsidR="00D370F6" w:rsidRDefault="00D370F6">
      <w:pPr>
        <w:spacing w:after="0" w:line="240" w:lineRule="auto"/>
      </w:pPr>
      <w:r>
        <w:separator/>
      </w:r>
    </w:p>
  </w:endnote>
  <w:endnote w:type="continuationSeparator" w:id="0">
    <w:p w14:paraId="6E5B0DAA" w14:textId="77777777" w:rsidR="00D370F6" w:rsidRDefault="00D3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EC02" w14:textId="77777777" w:rsidR="00D370F6" w:rsidRDefault="00D370F6">
      <w:pPr>
        <w:spacing w:after="0" w:line="240" w:lineRule="auto"/>
      </w:pPr>
      <w:r>
        <w:separator/>
      </w:r>
    </w:p>
  </w:footnote>
  <w:footnote w:type="continuationSeparator" w:id="0">
    <w:p w14:paraId="23F805C2" w14:textId="77777777" w:rsidR="00D370F6" w:rsidRDefault="00D3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0F59"/>
    <w:rsid w:val="00043B86"/>
    <w:rsid w:val="00055DD8"/>
    <w:rsid w:val="00091E20"/>
    <w:rsid w:val="000C2393"/>
    <w:rsid w:val="000D6144"/>
    <w:rsid w:val="001241EF"/>
    <w:rsid w:val="00133F9C"/>
    <w:rsid w:val="00144B42"/>
    <w:rsid w:val="00144C65"/>
    <w:rsid w:val="002062D4"/>
    <w:rsid w:val="0023287F"/>
    <w:rsid w:val="00241334"/>
    <w:rsid w:val="00244122"/>
    <w:rsid w:val="002607EA"/>
    <w:rsid w:val="00266BB5"/>
    <w:rsid w:val="002F0BB5"/>
    <w:rsid w:val="003146FD"/>
    <w:rsid w:val="00325756"/>
    <w:rsid w:val="003367DB"/>
    <w:rsid w:val="00342E41"/>
    <w:rsid w:val="003725D9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5F66CD"/>
    <w:rsid w:val="00620DA5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7D2C53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50580"/>
    <w:rsid w:val="00A54239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370F6"/>
    <w:rsid w:val="00D44494"/>
    <w:rsid w:val="00DA7BD6"/>
    <w:rsid w:val="00E65826"/>
    <w:rsid w:val="00E65C60"/>
    <w:rsid w:val="00EC1DCF"/>
    <w:rsid w:val="00F125FC"/>
    <w:rsid w:val="00F13F29"/>
    <w:rsid w:val="00F268D2"/>
    <w:rsid w:val="00F32881"/>
    <w:rsid w:val="00F704B4"/>
    <w:rsid w:val="00F72E17"/>
    <w:rsid w:val="00F9661E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317E8-96DB-4640-A082-5AE2F920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2020-07-06T09:21:00Z</dcterms:created>
  <dcterms:modified xsi:type="dcterms:W3CDTF">2021-10-21T14:00:00Z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