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E0" w:rsidRPr="00A83BE0" w:rsidRDefault="00A83BE0" w:rsidP="004D28F7">
      <w:pPr>
        <w:pStyle w:val="Listenabsatz"/>
        <w:spacing w:after="0" w:line="360" w:lineRule="auto"/>
        <w:ind w:left="851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  <w:r w:rsidRPr="00A83BE0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Akust</w:t>
      </w:r>
      <w:r w:rsidR="000552A9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ikdeckensystem ROCKFON </w:t>
      </w:r>
      <w:r w:rsidR="000E0D3E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Blanka</w:t>
      </w:r>
      <w:r w:rsidR="00A561B6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 E</w:t>
      </w:r>
      <w:r w:rsidR="00A974A3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24</w:t>
      </w:r>
      <w:r w:rsidR="000E0D3E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 20</w:t>
      </w:r>
      <w:r w:rsidR="000552A9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 mm</w:t>
      </w:r>
    </w:p>
    <w:p w:rsidR="0013039C" w:rsidRDefault="00855F2B" w:rsidP="00C14540">
      <w:pPr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Lieferung und Montage des Akus</w:t>
      </w:r>
      <w:r w:rsidRPr="00855F2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tikdeckensystems Rockfon </w:t>
      </w:r>
      <w:r w:rsidR="000E0D3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Blanka</w:t>
      </w:r>
      <w:r w:rsidR="00F24F0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E24</w:t>
      </w:r>
      <w:r w:rsidR="000E0D3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20</w:t>
      </w:r>
      <w:r w:rsidR="000552A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mm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bestehend aus Akustikdeckenplatten </w:t>
      </w:r>
      <w:r w:rsidRPr="00855F2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Rockfon </w:t>
      </w:r>
      <w:r w:rsidR="000E0D3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Blanka</w:t>
      </w:r>
      <w:r w:rsidR="00F24F0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E24</w:t>
      </w:r>
      <w:r w:rsidR="006360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0E0D3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20</w:t>
      </w:r>
      <w:r w:rsidR="000552A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mm </w:t>
      </w:r>
      <w:r w:rsidR="00C1454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und Unterkonstruktion Chicago Metallic T24 Click 2890</w:t>
      </w:r>
      <w:r w:rsidR="00C14540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855F2B" w:rsidRPr="009C1AF2" w:rsidRDefault="00777C43" w:rsidP="0013039C">
      <w:pPr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1. B</w:t>
      </w:r>
      <w:r w:rsidR="00855F2B" w:rsidRPr="009C1AF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estandteil: </w:t>
      </w:r>
    </w:p>
    <w:p w:rsidR="00855F2B" w:rsidRPr="00B735B5" w:rsidRDefault="00072CF8" w:rsidP="00A83BE0">
      <w:pPr>
        <w:spacing w:before="30" w:after="0" w:line="240" w:lineRule="auto"/>
        <w:ind w:left="851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Akustikdeckenplatten</w:t>
      </w:r>
    </w:p>
    <w:p w:rsidR="004602CA" w:rsidRDefault="004602CA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552A9" w:rsidRPr="00D47EBA" w:rsidRDefault="000552A9" w:rsidP="000552A9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Fabrikat: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ROCKFON</w:t>
      </w:r>
    </w:p>
    <w:p w:rsidR="000552A9" w:rsidRPr="00D47EBA" w:rsidRDefault="000552A9" w:rsidP="000552A9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Typ: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0E0D3E">
        <w:rPr>
          <w:rFonts w:ascii="Arial" w:eastAsia="Times New Roman" w:hAnsi="Arial" w:cs="Arial"/>
          <w:sz w:val="20"/>
          <w:szCs w:val="20"/>
          <w:lang w:eastAsia="de-DE"/>
        </w:rPr>
        <w:t>Blanka</w:t>
      </w:r>
    </w:p>
    <w:p w:rsidR="000552A9" w:rsidRPr="00D47EBA" w:rsidRDefault="000552A9" w:rsidP="000552A9">
      <w:pPr>
        <w:tabs>
          <w:tab w:val="left" w:pos="1843"/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Plattendicke [mm]</w:t>
      </w:r>
      <w:r w:rsidR="000E0D3E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="000E0D3E">
        <w:rPr>
          <w:rFonts w:ascii="Arial" w:eastAsia="Times New Roman" w:hAnsi="Arial" w:cs="Arial"/>
          <w:sz w:val="20"/>
          <w:szCs w:val="20"/>
          <w:lang w:eastAsia="de-DE"/>
        </w:rPr>
        <w:tab/>
        <w:t>20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mm</w:t>
      </w:r>
    </w:p>
    <w:p w:rsidR="000552A9" w:rsidRPr="00D47EBA" w:rsidRDefault="000552A9" w:rsidP="000552A9">
      <w:pPr>
        <w:tabs>
          <w:tab w:val="left" w:pos="1843"/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Modulabmessungen: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625 x 625 mm, 1.250 x 625 mm</w:t>
      </w:r>
    </w:p>
    <w:p w:rsidR="000552A9" w:rsidRPr="00D47EBA" w:rsidRDefault="000552A9" w:rsidP="000552A9">
      <w:pPr>
        <w:tabs>
          <w:tab w:val="left" w:pos="1843"/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Kantenausbildung: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E(24)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gem. DIN EN 13964 </w:t>
      </w:r>
    </w:p>
    <w:p w:rsidR="000552A9" w:rsidRDefault="000552A9" w:rsidP="000552A9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1207C" w:rsidRPr="00672682" w:rsidRDefault="0001207C" w:rsidP="0001207C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Akustikdeckenplatte Rockfon Blanka besteht </w:t>
      </w: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aus hoch verdichteter, Kunstharz gebundener Steinwolle mit einem Schmelzpunkt &gt;1000° C. Die </w:t>
      </w:r>
      <w:proofErr w:type="spellStart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Steinwollefasern</w:t>
      </w:r>
      <w:proofErr w:type="spellEnd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sind biolöslich. Sie erfüllen die Freizeichnungskriterien des Anhangs IV Nr. 22 der Gefahrstoffverordnung und des Abschnitts 23 des Anhangs zu §1 Chemikalien-Verbotsverordnung sowie der EU-Richtlinie 97/69/EG. Die Freigabe von Formaldehyd liegt weit unter dem Grenzwert der Klasse E1 nach DIN EN 13964. Das Einhalten der Kriterien wird durch das "RAL-Gütezeichen Mineralwolle" sichergestellt.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</w:p>
    <w:p w:rsidR="0001207C" w:rsidRDefault="0001207C" w:rsidP="0001207C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1207C" w:rsidRPr="001F672C" w:rsidRDefault="0001207C" w:rsidP="0001207C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Rockfon Blanka</w:t>
      </w:r>
      <w:r w:rsidRPr="001F672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verfügt über </w:t>
      </w:r>
      <w:r w:rsidRPr="001F672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eine sehr matte, glatte, superweiße Oberfläche mit hoher optischer Integrität bei nahezu 100%iger akustischer Transparenz.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Ihre hohe</w:t>
      </w:r>
      <w:r w:rsidRPr="001F672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Lichtreflexion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und Lichtdiffusion kann zu </w:t>
      </w:r>
      <w:r w:rsidRPr="001F672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Energieeinsparungen und hellen und komfortablen Innenräumen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Pr="001F672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beitrag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</w:t>
      </w:r>
      <w:r w:rsidRPr="001F672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01207C" w:rsidRDefault="0001207C" w:rsidP="0001207C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1F672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glatte, richtungsungebundene Oberfläche reduziert die Montagezeit,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Pr="001F672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und die antistatische Oberfläche hält Baustellenstaub stand.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</w:p>
    <w:p w:rsidR="0001207C" w:rsidRPr="009C1AF2" w:rsidRDefault="0001207C" w:rsidP="0001207C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1207C" w:rsidRDefault="0001207C" w:rsidP="0001207C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Akustikdeckenplatten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verfügen über die CE-Kennzeichnung und entsprechen den Anforderungen der Bauproduktenverordnung (Verordnung (EU) Nr. 305/2011 des europäischen Parlaments und des Rates).</w:t>
      </w:r>
    </w:p>
    <w:p w:rsidR="0001207C" w:rsidRPr="009C1AF2" w:rsidRDefault="0001207C" w:rsidP="0001207C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1207C" w:rsidRDefault="0001207C" w:rsidP="0001207C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rüber hinaus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gewährleisten die Akustikdeckenplatten 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mindestens folge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nde funktionelle Eigenschaften:</w:t>
      </w:r>
    </w:p>
    <w:p w:rsidR="0001207C" w:rsidRDefault="0001207C" w:rsidP="0001207C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1207C" w:rsidRDefault="0001207C" w:rsidP="0001207C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F00C7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Sichtseite: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Akustikvlies mit akustisch transparenter Farbbeschichtung</w:t>
      </w:r>
    </w:p>
    <w:p w:rsidR="0001207C" w:rsidRDefault="0001207C" w:rsidP="0001207C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Farbe: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Matte,</w:t>
      </w:r>
      <w:r w:rsidRPr="001F672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superweiße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Farbbeschichtung</w:t>
      </w:r>
    </w:p>
    <w:p w:rsidR="0001207C" w:rsidRDefault="0001207C" w:rsidP="0001207C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Weißegrad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L-Wert = 94,5</w:t>
      </w:r>
    </w:p>
    <w:p w:rsidR="0001207C" w:rsidRDefault="0001207C" w:rsidP="0001207C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Lichtreflexionsgrad: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87</w:t>
      </w:r>
      <w:r w:rsidRP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%, gemäß ISO 7724-2</w:t>
      </w:r>
    </w:p>
    <w:p w:rsidR="0001207C" w:rsidRDefault="0001207C" w:rsidP="0001207C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Lichtdiffusion: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&gt; 99 %</w:t>
      </w:r>
    </w:p>
    <w:p w:rsidR="0001207C" w:rsidRDefault="0001207C" w:rsidP="0001207C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Reinigungsfähigkeit: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 xml:space="preserve">Antistatische Oberfläche zu reinigen: </w:t>
      </w:r>
    </w:p>
    <w:p w:rsidR="0001207C" w:rsidRDefault="0001207C" w:rsidP="0001207C">
      <w:pPr>
        <w:spacing w:before="30" w:after="0" w:line="240" w:lineRule="auto"/>
        <w:ind w:left="851" w:firstLine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- mit weicher Bürste oder Staubsauger</w:t>
      </w:r>
    </w:p>
    <w:p w:rsidR="0001207C" w:rsidRPr="00F9392B" w:rsidRDefault="0001207C" w:rsidP="0001207C">
      <w:pPr>
        <w:tabs>
          <w:tab w:val="left" w:pos="3544"/>
        </w:tabs>
        <w:spacing w:before="3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- mit</w:t>
      </w:r>
      <w:r w:rsidRPr="00F9392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feuchten Tuch oder Schwamm</w:t>
      </w:r>
    </w:p>
    <w:p w:rsidR="0001207C" w:rsidRDefault="0001207C" w:rsidP="0001207C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F9392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Nassabriebbeständigkeit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F9392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Klasse 1</w:t>
      </w:r>
    </w:p>
    <w:p w:rsidR="0001207C" w:rsidRDefault="0001207C" w:rsidP="0001207C">
      <w:pPr>
        <w:tabs>
          <w:tab w:val="left" w:pos="3544"/>
        </w:tabs>
        <w:spacing w:before="3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1207C" w:rsidRDefault="0001207C" w:rsidP="0001207C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Rückseite: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abriebminderndes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Vlies</w:t>
      </w:r>
    </w:p>
    <w:p w:rsidR="0001207C" w:rsidRDefault="0001207C" w:rsidP="0001207C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1207C" w:rsidRDefault="0001207C" w:rsidP="0001207C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Brandverhalten: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Euroklasse A1 gem. DIN EN 13501-1</w:t>
      </w:r>
    </w:p>
    <w:p w:rsidR="0001207C" w:rsidRDefault="0001207C" w:rsidP="0001207C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Biegezugfestigkeitsklasse: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1/C/0N</w:t>
      </w:r>
    </w:p>
    <w:p w:rsidR="0001207C" w:rsidRDefault="0001207C" w:rsidP="0001207C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Feuchtigkeitsbeständigkeit: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100% RH, bei 0 – 40 °C</w:t>
      </w:r>
    </w:p>
    <w:p w:rsidR="0001207C" w:rsidRDefault="0001207C" w:rsidP="0001207C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1207C" w:rsidRDefault="0001207C" w:rsidP="0001207C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Wohngesundheit: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Nachweis der besonderen Umweltfreundlichkeit durch </w:t>
      </w:r>
    </w:p>
    <w:p w:rsidR="0001207C" w:rsidRPr="00542E69" w:rsidRDefault="0001207C" w:rsidP="0001207C">
      <w:pPr>
        <w:spacing w:before="30" w:after="0" w:line="240" w:lineRule="auto"/>
        <w:ind w:left="3544" w:hanging="4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r w:rsidRPr="00777C25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- 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M1 Indoor C</w:t>
      </w:r>
      <w:r w:rsidRPr="00542E69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limate Label</w:t>
      </w:r>
    </w:p>
    <w:p w:rsidR="0001207C" w:rsidRPr="00542E69" w:rsidRDefault="0001207C" w:rsidP="0001207C">
      <w:pPr>
        <w:spacing w:before="30" w:after="0" w:line="240" w:lineRule="auto"/>
        <w:ind w:left="3544" w:hanging="4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r w:rsidRPr="00542E69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- Danish Indoor Climate Label</w:t>
      </w:r>
    </w:p>
    <w:p w:rsidR="0001207C" w:rsidRDefault="0001207C" w:rsidP="0001207C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1B4ED4"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  <w:br w:type="page"/>
      </w:r>
      <w:r w:rsidRP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lastRenderedPageBreak/>
        <w:t>Schallabsorptionsgrade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</w:t>
      </w:r>
    </w:p>
    <w:p w:rsidR="0001207C" w:rsidRDefault="0001207C" w:rsidP="0001207C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Gemessen bei einer totalen Konstruktionshöhe von 200 mm</w:t>
      </w:r>
    </w:p>
    <w:p w:rsidR="0001207C" w:rsidRPr="00DD3C2E" w:rsidRDefault="0001207C" w:rsidP="0001207C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1207C" w:rsidRPr="00D47EBA" w:rsidRDefault="0001207C" w:rsidP="0001207C">
      <w:pPr>
        <w:tabs>
          <w:tab w:val="left" w:pos="1560"/>
          <w:tab w:val="left" w:pos="241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Frequenz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proofErr w:type="spellStart"/>
      <w:r w:rsidRPr="00D47EBA">
        <w:rPr>
          <w:rFonts w:ascii="Arial" w:eastAsia="Times New Roman" w:hAnsi="Arial" w:cs="Arial"/>
          <w:sz w:val="20"/>
          <w:szCs w:val="20"/>
          <w:lang w:eastAsia="de-DE"/>
        </w:rPr>
        <w:t>alpha</w:t>
      </w:r>
      <w:proofErr w:type="spellEnd"/>
      <w:r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p</w:t>
      </w:r>
    </w:p>
    <w:p w:rsidR="0001207C" w:rsidRPr="00D47EBA" w:rsidRDefault="0001207C" w:rsidP="0001207C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125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>0,45</w:t>
      </w:r>
    </w:p>
    <w:p w:rsidR="0001207C" w:rsidRPr="00D47EBA" w:rsidRDefault="0001207C" w:rsidP="0001207C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250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>0,85</w:t>
      </w:r>
    </w:p>
    <w:p w:rsidR="0001207C" w:rsidRPr="00D47EBA" w:rsidRDefault="0001207C" w:rsidP="0001207C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500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>1,00</w:t>
      </w:r>
    </w:p>
    <w:p w:rsidR="0001207C" w:rsidRPr="00D47EBA" w:rsidRDefault="0001207C" w:rsidP="0001207C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1.000 Hz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0,95</w:t>
      </w:r>
    </w:p>
    <w:p w:rsidR="0001207C" w:rsidRPr="00D47EBA" w:rsidRDefault="0001207C" w:rsidP="0001207C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2.000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1,00</w:t>
      </w:r>
    </w:p>
    <w:p w:rsidR="0001207C" w:rsidRPr="00D47EBA" w:rsidRDefault="0001207C" w:rsidP="0001207C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4.000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1,00</w:t>
      </w:r>
    </w:p>
    <w:p w:rsidR="0001207C" w:rsidRPr="00D47EBA" w:rsidRDefault="0001207C" w:rsidP="0001207C">
      <w:pPr>
        <w:tabs>
          <w:tab w:val="left" w:pos="1560"/>
          <w:tab w:val="left" w:pos="1701"/>
          <w:tab w:val="left" w:pos="2268"/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</w:p>
    <w:p w:rsidR="0001207C" w:rsidRPr="00D47EBA" w:rsidRDefault="0001207C" w:rsidP="0001207C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alpha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w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1,00</w:t>
      </w:r>
    </w:p>
    <w:p w:rsidR="0001207C" w:rsidRPr="00D47EBA" w:rsidRDefault="0001207C" w:rsidP="0001207C">
      <w:pPr>
        <w:tabs>
          <w:tab w:val="left" w:pos="1560"/>
          <w:tab w:val="left" w:pos="1701"/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D47EBA">
        <w:rPr>
          <w:rFonts w:ascii="Arial" w:eastAsia="Times New Roman" w:hAnsi="Arial" w:cs="Arial"/>
          <w:sz w:val="20"/>
          <w:szCs w:val="20"/>
          <w:lang w:eastAsia="de-DE"/>
        </w:rPr>
        <w:t>Absorberklasse</w:t>
      </w:r>
      <w:proofErr w:type="spellEnd"/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A</w:t>
      </w:r>
    </w:p>
    <w:p w:rsidR="0001207C" w:rsidRDefault="0001207C" w:rsidP="0001207C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1207C" w:rsidRPr="009C1AF2" w:rsidRDefault="0001207C" w:rsidP="0001207C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777C43" w:rsidRDefault="00777C43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072CF8" w:rsidRDefault="00072CF8" w:rsidP="00072CF8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enge:                     m²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EP                     €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GP:                     €</w:t>
      </w:r>
    </w:p>
    <w:p w:rsidR="00B735B5" w:rsidRDefault="00B735B5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906173" w:rsidRDefault="00906173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906173" w:rsidRPr="009C1AF2" w:rsidRDefault="00906173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DE305B" w:rsidRDefault="00DE305B" w:rsidP="00DE305B">
      <w:pPr>
        <w:spacing w:before="3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2. Bestandteil:</w:t>
      </w:r>
    </w:p>
    <w:p w:rsidR="00DE305B" w:rsidRDefault="00DE305B" w:rsidP="00DE305B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DE305B" w:rsidRDefault="00DE305B" w:rsidP="00DE305B">
      <w:pPr>
        <w:spacing w:before="3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T24 Click-Unterkonstruktion</w:t>
      </w:r>
    </w:p>
    <w:p w:rsidR="00DE305B" w:rsidRDefault="00DE305B" w:rsidP="00DE305B">
      <w:pPr>
        <w:spacing w:before="3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DE305B" w:rsidRDefault="00DE305B" w:rsidP="00DE305B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Fabrikat: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ROCKFON</w:t>
      </w:r>
    </w:p>
    <w:p w:rsidR="00DE305B" w:rsidRPr="001B1331" w:rsidRDefault="00DE305B" w:rsidP="00DE305B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1B133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System:</w:t>
      </w:r>
      <w:r w:rsidRPr="001B133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Chicago Metallic T24 Click 2890</w:t>
      </w:r>
    </w:p>
    <w:p w:rsidR="00DE305B" w:rsidRDefault="00DE305B" w:rsidP="00DE305B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Profilbreite: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24 mm</w:t>
      </w:r>
    </w:p>
    <w:p w:rsidR="00DE305B" w:rsidRDefault="00DE305B" w:rsidP="00DE305B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Profilhöhe: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38 mm (Haupt- und Querschienen)</w:t>
      </w:r>
    </w:p>
    <w:p w:rsidR="00DE305B" w:rsidRDefault="00DE305B" w:rsidP="00DE305B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Materialstärke: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Hauptschienen: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2 x 0,4 mm</w:t>
      </w:r>
    </w:p>
    <w:p w:rsidR="00DE305B" w:rsidRDefault="00DE305B" w:rsidP="00DE305B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Querschienen: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2 x 0,3 mm</w:t>
      </w:r>
    </w:p>
    <w:p w:rsidR="00DE305B" w:rsidRDefault="00DE305B" w:rsidP="00DE305B">
      <w:pPr>
        <w:tabs>
          <w:tab w:val="left" w:pos="2835"/>
        </w:tabs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Profilfarbe: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weiß, ähnlich RAL 9016</w:t>
      </w:r>
    </w:p>
    <w:p w:rsidR="00DE305B" w:rsidRDefault="00DE305B" w:rsidP="00DE305B">
      <w:pPr>
        <w:tabs>
          <w:tab w:val="left" w:pos="2835"/>
        </w:tabs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DE305B" w:rsidRDefault="00DE305B" w:rsidP="00DE305B">
      <w:pPr>
        <w:tabs>
          <w:tab w:val="left" w:pos="3686"/>
        </w:tabs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  <w:t>bestehend aus:</w:t>
      </w:r>
    </w:p>
    <w:p w:rsidR="00DE305B" w:rsidRDefault="00DE305B" w:rsidP="00DE305B">
      <w:pPr>
        <w:tabs>
          <w:tab w:val="left" w:pos="3686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Tragschienen / Abstand: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-2800 31 001 / 1250 mm</w:t>
      </w:r>
    </w:p>
    <w:p w:rsidR="00DE305B" w:rsidRDefault="00DE305B" w:rsidP="00DE305B">
      <w:pPr>
        <w:tabs>
          <w:tab w:val="left" w:pos="3402"/>
          <w:tab w:val="left" w:pos="3686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Querschienen lang / Abstand: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-2894 31 001 / 625 mm</w:t>
      </w:r>
    </w:p>
    <w:p w:rsidR="00DE305B" w:rsidRDefault="00DE305B" w:rsidP="00DE305B">
      <w:pPr>
        <w:tabs>
          <w:tab w:val="left" w:pos="3402"/>
          <w:tab w:val="left" w:pos="3686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Querschienen kurz / Abstand: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-2892 31 001 / 1250 mm (nur bei 625x625 mm) </w:t>
      </w:r>
    </w:p>
    <w:p w:rsidR="00DE305B" w:rsidRDefault="00DE305B" w:rsidP="00DE305B">
      <w:pPr>
        <w:tabs>
          <w:tab w:val="left" w:pos="3686"/>
        </w:tabs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Abhänger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/ Abstand: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………………/ 1250 mm</w:t>
      </w:r>
    </w:p>
    <w:p w:rsidR="00DE305B" w:rsidRDefault="00DE305B" w:rsidP="00DE305B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DE305B" w:rsidRDefault="00DE305B" w:rsidP="00DE305B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Unterkonstruktion Chicago Metallic T24 Click 2890 besteht aus warm gewalztem Stahl (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sendzimir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verzinkt) mit einer beidseitigen Beschichtung aus Zink mit einer Schichtdicke von 100 g/m². Das System ist feuerbeständig und demontierbar. </w:t>
      </w:r>
    </w:p>
    <w:p w:rsidR="00DE305B" w:rsidRDefault="00DE305B" w:rsidP="00DE305B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DE305B" w:rsidRDefault="00DE305B" w:rsidP="00DE305B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Trag- und Querschienen verfügen über eine Höhe von 38 mm was hohe Tragfähigkeiten und bestmögliche Kompatibilität mit Zubehören und Einbauteilen gewährleistet. </w:t>
      </w:r>
    </w:p>
    <w:p w:rsidR="00DE305B" w:rsidRDefault="00DE305B" w:rsidP="00DE305B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DE305B" w:rsidRDefault="00DE305B" w:rsidP="00DE305B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Tragschienen Typs -2800 sind alle mit einem Ausdehnungsausgleich (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Firebreak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) von 40 mm ausgestattet, welcher im Falle eines Brandes die Stabilität der Decke sicherstellt. An jedem Schienenende befindet sich eine integrierte Klickkupplung durch die die Tragschienen mit einander verbunden werden.</w:t>
      </w:r>
    </w:p>
    <w:p w:rsidR="00DE305B" w:rsidRDefault="00DE305B" w:rsidP="00DE305B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DE305B" w:rsidRDefault="00DE305B" w:rsidP="00DE305B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Enden der Querschienen sind mit einer integrierten Klickkupplung und einer gekröpften Auflage versehen. Am Ende der Querschienen befindet sich eine Ausdehnungslasche (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Firebreak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) die ebenso die Demontage der Schiene ermöglicht.</w:t>
      </w:r>
    </w:p>
    <w:p w:rsidR="00DE305B" w:rsidRDefault="00DE305B" w:rsidP="00DE305B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DE305B" w:rsidRDefault="00DE305B" w:rsidP="00DE305B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Farbtoleranz der verschiedenen Schienen wird Δ E = 1 nicht überstiegen.</w:t>
      </w:r>
    </w:p>
    <w:p w:rsidR="00DE305B" w:rsidRDefault="00DE305B" w:rsidP="00DE305B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sichtbaren Teile haben einen Glanzgrad von 15% mit einer Toleranz von +/- 3%.</w:t>
      </w:r>
    </w:p>
    <w:p w:rsidR="00DE305B" w:rsidRDefault="00DE305B" w:rsidP="00DE305B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lastRenderedPageBreak/>
        <w:t>Schienen aus verschiedenen Produktionen gleichen Farbtons können miteinander kombiniert werden.</w:t>
      </w:r>
    </w:p>
    <w:p w:rsidR="00DE305B" w:rsidRDefault="00DE305B" w:rsidP="00DE305B">
      <w:pPr>
        <w:spacing w:before="2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DE305B" w:rsidRDefault="00DE305B" w:rsidP="00DE305B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Als Systembestandteil verfügt die Unterkonstruktion über die CE-Kennzeichnung und entspricht den Anforderungen der Bauproduktenverordnung (Verordnung (EU) Nr. 305/2011 des europäischen Parlaments und des Rates).</w:t>
      </w:r>
    </w:p>
    <w:p w:rsidR="00DE305B" w:rsidRDefault="00DE305B" w:rsidP="00DE305B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DE305B" w:rsidRDefault="00DE305B" w:rsidP="00DE305B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Darüber hinaus gewährleistet die Unterkonstruktion mindestens folgende funktionelle Eigenschaften:</w:t>
      </w:r>
    </w:p>
    <w:p w:rsidR="00DE305B" w:rsidRDefault="00DE305B" w:rsidP="00DE305B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DE305B" w:rsidRDefault="00DE305B" w:rsidP="00DE305B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Brandverhalten: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Euroklasse A1 gem. DIN EN 13501-1</w:t>
      </w:r>
    </w:p>
    <w:p w:rsidR="00DE305B" w:rsidRDefault="00DE305B" w:rsidP="00DE305B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Korrosionsklasse: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B, gem. DIN EN 13964</w:t>
      </w:r>
    </w:p>
    <w:p w:rsidR="00DE305B" w:rsidRDefault="00DE305B" w:rsidP="00DE305B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Tragfähigkeit: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</w:p>
    <w:tbl>
      <w:tblPr>
        <w:tblStyle w:val="Tabellenraster"/>
        <w:tblW w:w="0" w:type="auto"/>
        <w:tblInd w:w="3544" w:type="dxa"/>
        <w:tblLook w:val="04A0" w:firstRow="1" w:lastRow="0" w:firstColumn="1" w:lastColumn="0" w:noHBand="0" w:noVBand="1"/>
      </w:tblPr>
      <w:tblGrid>
        <w:gridCol w:w="2234"/>
        <w:gridCol w:w="3510"/>
      </w:tblGrid>
      <w:tr w:rsidR="00DE305B" w:rsidTr="00DE305B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5B" w:rsidRDefault="00DE305B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Modulabmessungen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5B" w:rsidRDefault="00DE305B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Tragfähigkeit in kg/m² bei einer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Gesamtdurchbiegung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von 2,5 mm</w:t>
            </w:r>
          </w:p>
        </w:tc>
      </w:tr>
      <w:tr w:rsidR="00DE305B" w:rsidTr="00DE305B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5B" w:rsidRDefault="00DE305B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625 x 625 mm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5B" w:rsidRDefault="00DE305B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8,0</w:t>
            </w:r>
          </w:p>
        </w:tc>
      </w:tr>
      <w:tr w:rsidR="00DE305B" w:rsidTr="00DE305B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5B" w:rsidRDefault="00DE305B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1.250 x 625 mm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5B" w:rsidRDefault="00DE305B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8,8</w:t>
            </w:r>
          </w:p>
        </w:tc>
      </w:tr>
    </w:tbl>
    <w:p w:rsidR="00DE305B" w:rsidRDefault="00DE305B" w:rsidP="00DE305B">
      <w:pPr>
        <w:spacing w:before="2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DE305B" w:rsidRDefault="00DE305B" w:rsidP="00DE305B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nachzuweisen.</w:t>
      </w:r>
    </w:p>
    <w:p w:rsidR="00DE305B" w:rsidRDefault="00DE305B" w:rsidP="00DE305B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DE305B" w:rsidRDefault="00DE305B" w:rsidP="00DE305B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Menge:                     m²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EP                     €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GP:                     €</w:t>
      </w:r>
    </w:p>
    <w:p w:rsidR="00072CF8" w:rsidRDefault="00072CF8" w:rsidP="00535EB1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072CF8" w:rsidRDefault="00072CF8" w:rsidP="00535EB1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072CF8" w:rsidRDefault="00072CF8" w:rsidP="00535EB1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725394" w:rsidRPr="00777C43" w:rsidRDefault="00725394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3</w:t>
      </w:r>
      <w:r w:rsidRPr="00777C4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. Bestandteil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</w:p>
    <w:p w:rsidR="00725394" w:rsidRDefault="00725394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072CF8" w:rsidRPr="00680C5A" w:rsidRDefault="00072CF8" w:rsidP="00072CF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proofErr w:type="spellStart"/>
      <w:r w:rsidRPr="00680C5A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Wandanschluß</w:t>
      </w:r>
      <w:proofErr w:type="spellEnd"/>
      <w:r w:rsidRPr="00680C5A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per Stufenwandwinkel</w:t>
      </w:r>
    </w:p>
    <w:p w:rsidR="00072CF8" w:rsidRPr="00680C5A" w:rsidRDefault="00072CF8" w:rsidP="00072CF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072CF8" w:rsidRPr="00680C5A" w:rsidRDefault="00072CF8" w:rsidP="00072CF8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680C5A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Fabrikat:</w:t>
      </w:r>
      <w:r w:rsidRPr="00680C5A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ROCKFON</w:t>
      </w:r>
    </w:p>
    <w:p w:rsidR="00072CF8" w:rsidRPr="00680C5A" w:rsidRDefault="00072CF8" w:rsidP="00072CF8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680C5A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Typ:</w:t>
      </w:r>
      <w:r w:rsidRPr="00680C5A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 xml:space="preserve">Chicago Metallic Stufenwandwinkel </w:t>
      </w:r>
      <w:r w:rsidR="000552A9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1461</w:t>
      </w:r>
    </w:p>
    <w:p w:rsidR="00072CF8" w:rsidRPr="00680C5A" w:rsidRDefault="00072CF8" w:rsidP="00072CF8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680C5A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Abmessungen:</w:t>
      </w:r>
      <w:r w:rsidRPr="00680C5A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</w:r>
      <w:r w:rsidR="000552A9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15 x 12 x 8</w:t>
      </w:r>
      <w:r w:rsidRPr="00680C5A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 xml:space="preserve"> x 15 mm, </w:t>
      </w:r>
    </w:p>
    <w:p w:rsidR="00072CF8" w:rsidRPr="00680C5A" w:rsidRDefault="00072CF8" w:rsidP="00072CF8">
      <w:pPr>
        <w:tabs>
          <w:tab w:val="left" w:pos="2835"/>
        </w:tabs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80C5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Profilfarbe:</w:t>
      </w:r>
      <w:r w:rsidRPr="00680C5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weiß, ähnlich RAL 9016</w:t>
      </w:r>
    </w:p>
    <w:p w:rsidR="00072CF8" w:rsidRPr="00680C5A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72CF8" w:rsidRPr="00680C5A" w:rsidRDefault="00072CF8" w:rsidP="00072CF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80C5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Der Chicago Metallic Stufenwandwinkel </w:t>
      </w:r>
      <w:r w:rsidR="000552A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1461</w:t>
      </w:r>
      <w:r w:rsidRPr="00680C5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besteht aus warm gewalztem Stahl (</w:t>
      </w:r>
      <w:proofErr w:type="spellStart"/>
      <w:r w:rsidRPr="00680C5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sendzimir</w:t>
      </w:r>
      <w:proofErr w:type="spellEnd"/>
      <w:r w:rsidRPr="00680C5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verzinkt</w:t>
      </w:r>
      <w:bookmarkStart w:id="0" w:name="_GoBack"/>
      <w:bookmarkEnd w:id="0"/>
      <w:r w:rsidRPr="00680C5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) mit einer beidseitigen Beschichtung aus Zink mit einer Schichtdicke von 100 g/m². </w:t>
      </w:r>
    </w:p>
    <w:p w:rsidR="00072CF8" w:rsidRPr="00680C5A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72CF8" w:rsidRPr="00680C5A" w:rsidRDefault="00072CF8" w:rsidP="00072CF8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80C5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Darüber hinaus gewährleistet der Wandwinkel mindestens folgende funktionelle Eigenschaften:</w:t>
      </w:r>
    </w:p>
    <w:p w:rsidR="00072CF8" w:rsidRPr="00680C5A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72CF8" w:rsidRPr="00680C5A" w:rsidRDefault="00072CF8" w:rsidP="00072CF8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80C5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Brandverhalten:</w:t>
      </w:r>
      <w:r w:rsidRPr="00680C5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Euroklasse A1 gem. DIN EN 13501-1</w:t>
      </w:r>
    </w:p>
    <w:p w:rsidR="00072CF8" w:rsidRPr="00680C5A" w:rsidRDefault="00072CF8" w:rsidP="00072CF8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80C5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Korrosionsklasse:</w:t>
      </w:r>
      <w:r w:rsidRPr="00680C5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B, gem. DIN EN 13964</w:t>
      </w:r>
    </w:p>
    <w:p w:rsidR="00072CF8" w:rsidRPr="00680C5A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72CF8" w:rsidRPr="00680C5A" w:rsidRDefault="00072CF8" w:rsidP="00072CF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80C5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nachzuweisen.</w:t>
      </w:r>
    </w:p>
    <w:p w:rsidR="00072CF8" w:rsidRPr="00680C5A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72CF8" w:rsidRPr="00680C5A" w:rsidRDefault="00072CF8" w:rsidP="00072CF8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80C5A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Menge:                     lfd. M.</w:t>
      </w:r>
      <w:r w:rsidRPr="00680C5A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EP                     €</w:t>
      </w:r>
      <w:r w:rsidRPr="00680C5A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GP:                     €</w:t>
      </w:r>
    </w:p>
    <w:p w:rsidR="00535EB1" w:rsidRDefault="00535EB1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535EB1" w:rsidRDefault="00535EB1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5E1213" w:rsidRDefault="005E1213" w:rsidP="008443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680C5A" w:rsidRDefault="00680C5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br w:type="page"/>
      </w:r>
    </w:p>
    <w:p w:rsidR="005673B8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lastRenderedPageBreak/>
        <w:t>Montagekurzbeschreibung</w:t>
      </w:r>
    </w:p>
    <w:p w:rsidR="005673B8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443B1" w:rsidRDefault="00780D95" w:rsidP="00780D9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An den aufgehenden Bauteilen </w:t>
      </w:r>
      <w:r w:rsidR="004C513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aus .............................</w:t>
      </w:r>
      <w:r w:rsidR="000F0C9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wird umlaufend der Wandwinkel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mit einem maximalen Befestigungsabstand von 300 mm befestigt. </w:t>
      </w:r>
      <w:r w:rsidR="00D47EB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Alle ein- und ausspringenden Ecken sind sauber auf Gehrung zu schneiden.</w:t>
      </w:r>
    </w:p>
    <w:p w:rsidR="002B4623" w:rsidRDefault="002B4623" w:rsidP="00780D9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C5137" w:rsidRDefault="00C96CA3" w:rsidP="00780D9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Anschließend werden die Tragschienen </w:t>
      </w:r>
      <w:r w:rsidR="000F0C9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des Typs -2800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mittels der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Abhänger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an der vorhandenen</w:t>
      </w:r>
      <w:r w:rsidR="00780D95" w:rsidRPr="00780D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Rohdecke aus .....</w:t>
      </w:r>
      <w:r w:rsidR="00780D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.........................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abgehängt</w:t>
      </w:r>
      <w:r w:rsidR="004C513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Der Achsabstand der Tragschienen beträgt 1.250 mm</w:t>
      </w:r>
      <w:r w:rsidR="000F0C9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der </w:t>
      </w:r>
      <w:proofErr w:type="spellStart"/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Abhängeabstand</w:t>
      </w:r>
      <w:proofErr w:type="spellEnd"/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beträgt ebenfalls 1.250 mm. </w:t>
      </w:r>
    </w:p>
    <w:p w:rsidR="008443B1" w:rsidRDefault="001B1331" w:rsidP="00780D9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Tragschienen sind</w:t>
      </w: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flu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cht- und waagerecht auszurichten.</w:t>
      </w:r>
    </w:p>
    <w:p w:rsidR="001B1331" w:rsidRDefault="001B1331" w:rsidP="00780D9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F0C99" w:rsidRDefault="000F0C99" w:rsidP="008443B1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Danach werden zwischen den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Tragschienen die l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angen Querschienen des Typs -2894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mit einem Achsabstand von 625 mm eingeklickt. </w:t>
      </w:r>
      <w:r w:rsidR="0007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Tragschienen sind</w:t>
      </w:r>
      <w:r w:rsidR="00072CF8"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flu</w:t>
      </w:r>
      <w:r w:rsidR="0007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cht- und waagerecht auszurichten.</w:t>
      </w:r>
    </w:p>
    <w:p w:rsidR="00780D95" w:rsidRPr="00780D95" w:rsidRDefault="000F0C99" w:rsidP="008443B1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de</w:t>
      </w:r>
      <w:r w:rsidR="00D47EB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 Modulabmessung 625x625 mm</w:t>
      </w:r>
      <w:r w:rsidR="0007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werden anschließend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zwischen d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langen Querschienen die kurzen Querschienen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des Typs -2892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eingeklickt.</w:t>
      </w:r>
      <w:r w:rsidR="0007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Der Achsabstand zwischen den kurzen Quers</w:t>
      </w:r>
      <w:r w:rsidR="00D47EB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chienen beträgt 1.250 </w:t>
      </w:r>
      <w:r w:rsidR="0007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mm.</w:t>
      </w:r>
    </w:p>
    <w:p w:rsidR="004C5137" w:rsidRDefault="004C5137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63421" w:rsidRDefault="004C5137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gesamte Konstruktion ist</w:t>
      </w:r>
      <w:r w:rsidR="00777C43"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0634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auf </w:t>
      </w:r>
      <w:r w:rsidR="00777C43"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flu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cht- und waagerecht</w:t>
      </w:r>
      <w:r w:rsidR="000634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e Ausrichtung zu überprüfen. </w:t>
      </w:r>
    </w:p>
    <w:p w:rsidR="002B4623" w:rsidRDefault="002B462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92130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Rockfon Akustikdeckenplatten werden anschließend in die</w:t>
      </w:r>
      <w:r w:rsidR="004C513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fertig montierte </w:t>
      </w: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Unterkonstruktion mit sauberen Handschuhen eingelegt. </w:t>
      </w:r>
      <w:r w:rsidR="0039213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Jede Platte ist einzeln </w:t>
      </w:r>
      <w:proofErr w:type="spellStart"/>
      <w:r w:rsidR="0039213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revisionierbar</w:t>
      </w:r>
      <w:proofErr w:type="spellEnd"/>
      <w:r w:rsidR="0039213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4C5137" w:rsidRDefault="004C5137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673B8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Der Preis beinhaltet Verschnitt, sowie Vorhalten der erforderlichen Gerüste und Werkzeuge. </w:t>
      </w:r>
    </w:p>
    <w:p w:rsidR="005673B8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Decke ist </w:t>
      </w:r>
      <w:proofErr w:type="spellStart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planeben</w:t>
      </w:r>
      <w:proofErr w:type="spellEnd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zu montieren, sowie sauber und frei von Beschädigungen zu übergeben.</w:t>
      </w: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777C43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abnahmefertige Montage ist nach DIN EN 13964, Vorbemerkungen, Architektenplänen, Angaben der Bauleitung sowie den Hersteller- Verarbeitungsrichtlinien auszuführen</w:t>
      </w:r>
    </w:p>
    <w:p w:rsidR="005673B8" w:rsidRPr="00672682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77C43" w:rsidRPr="00672682" w:rsidRDefault="008443B1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Für die Montage des gesamten Akustikdeckensystems sind ausschließlich für den Untergrund geeignete und bauaufsichtlich zugelassene Befestigungsmittel zu verwenden. </w:t>
      </w: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777C43" w:rsidRPr="00672682" w:rsidRDefault="0008509A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Summe: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 xml:space="preserve">………………………… </w:t>
      </w:r>
      <w:r w:rsidR="00777C43"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 </w:t>
      </w:r>
    </w:p>
    <w:p w:rsidR="00777C43" w:rsidRPr="00672682" w:rsidRDefault="0008509A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.....%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MwSt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 xml:space="preserve">………………………… 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 </w:t>
      </w:r>
    </w:p>
    <w:p w:rsidR="009E3262" w:rsidRDefault="0008509A" w:rsidP="00A83BE0">
      <w:pPr>
        <w:spacing w:before="2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Gesamt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…………………………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F147A0" w:rsidRDefault="00F147A0" w:rsidP="00A83BE0">
      <w:pPr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sectPr w:rsidR="00F147A0" w:rsidSect="00F04AE9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175B7"/>
    <w:multiLevelType w:val="multilevel"/>
    <w:tmpl w:val="5E7E75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6CE7533"/>
    <w:multiLevelType w:val="multilevel"/>
    <w:tmpl w:val="DADA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BE169B"/>
    <w:multiLevelType w:val="multilevel"/>
    <w:tmpl w:val="C6BC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F2"/>
    <w:rsid w:val="0001207C"/>
    <w:rsid w:val="00021CCB"/>
    <w:rsid w:val="000552A9"/>
    <w:rsid w:val="0005733E"/>
    <w:rsid w:val="00063421"/>
    <w:rsid w:val="00072CF8"/>
    <w:rsid w:val="0008509A"/>
    <w:rsid w:val="000A625B"/>
    <w:rsid w:val="000E0D3E"/>
    <w:rsid w:val="000F0C99"/>
    <w:rsid w:val="00106036"/>
    <w:rsid w:val="001219F6"/>
    <w:rsid w:val="001244BC"/>
    <w:rsid w:val="0013039C"/>
    <w:rsid w:val="001B1331"/>
    <w:rsid w:val="001B4ED4"/>
    <w:rsid w:val="00217300"/>
    <w:rsid w:val="002229AC"/>
    <w:rsid w:val="002463F0"/>
    <w:rsid w:val="00261434"/>
    <w:rsid w:val="00263CDE"/>
    <w:rsid w:val="0029556D"/>
    <w:rsid w:val="002B4623"/>
    <w:rsid w:val="002E1E1D"/>
    <w:rsid w:val="003143B4"/>
    <w:rsid w:val="00326C5C"/>
    <w:rsid w:val="00392130"/>
    <w:rsid w:val="003C2ACF"/>
    <w:rsid w:val="00412054"/>
    <w:rsid w:val="00412C5E"/>
    <w:rsid w:val="004602CA"/>
    <w:rsid w:val="00497DC0"/>
    <w:rsid w:val="004A774E"/>
    <w:rsid w:val="004C5137"/>
    <w:rsid w:val="004D28F7"/>
    <w:rsid w:val="00532BD5"/>
    <w:rsid w:val="00535EB1"/>
    <w:rsid w:val="00542E69"/>
    <w:rsid w:val="005673B8"/>
    <w:rsid w:val="005832DE"/>
    <w:rsid w:val="005954FA"/>
    <w:rsid w:val="005E1213"/>
    <w:rsid w:val="00636021"/>
    <w:rsid w:val="00672682"/>
    <w:rsid w:val="00680C5A"/>
    <w:rsid w:val="006C64F3"/>
    <w:rsid w:val="006E0406"/>
    <w:rsid w:val="006F70A8"/>
    <w:rsid w:val="00716B91"/>
    <w:rsid w:val="00725394"/>
    <w:rsid w:val="0073529C"/>
    <w:rsid w:val="00777C25"/>
    <w:rsid w:val="00777C43"/>
    <w:rsid w:val="00780D95"/>
    <w:rsid w:val="007E2261"/>
    <w:rsid w:val="008443B1"/>
    <w:rsid w:val="00855F2B"/>
    <w:rsid w:val="00906173"/>
    <w:rsid w:val="00992801"/>
    <w:rsid w:val="009B49F4"/>
    <w:rsid w:val="009C1AF2"/>
    <w:rsid w:val="009C1F17"/>
    <w:rsid w:val="009E3262"/>
    <w:rsid w:val="00A3524C"/>
    <w:rsid w:val="00A561B6"/>
    <w:rsid w:val="00A83BE0"/>
    <w:rsid w:val="00A974A3"/>
    <w:rsid w:val="00AA0208"/>
    <w:rsid w:val="00B061D8"/>
    <w:rsid w:val="00B65701"/>
    <w:rsid w:val="00B735B5"/>
    <w:rsid w:val="00BA3F75"/>
    <w:rsid w:val="00BC554D"/>
    <w:rsid w:val="00BF185E"/>
    <w:rsid w:val="00C14540"/>
    <w:rsid w:val="00C73262"/>
    <w:rsid w:val="00C96CA3"/>
    <w:rsid w:val="00CC4CBC"/>
    <w:rsid w:val="00D47EBA"/>
    <w:rsid w:val="00DB3640"/>
    <w:rsid w:val="00DD3C2E"/>
    <w:rsid w:val="00DE305B"/>
    <w:rsid w:val="00E15FCA"/>
    <w:rsid w:val="00E1629E"/>
    <w:rsid w:val="00F00C75"/>
    <w:rsid w:val="00F02C38"/>
    <w:rsid w:val="00F04AE9"/>
    <w:rsid w:val="00F147A0"/>
    <w:rsid w:val="00F24F06"/>
    <w:rsid w:val="00F520F9"/>
    <w:rsid w:val="00F75A8D"/>
    <w:rsid w:val="00F81595"/>
    <w:rsid w:val="00F82E43"/>
    <w:rsid w:val="00F9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21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3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47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3B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21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3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47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3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1089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8537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415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3390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90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608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5753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7670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7593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307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7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1066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Jux (RW-D/G)</dc:creator>
  <cp:lastModifiedBy>Martin Jux (RFN-EA)</cp:lastModifiedBy>
  <cp:revision>11</cp:revision>
  <cp:lastPrinted>2013-11-25T12:13:00Z</cp:lastPrinted>
  <dcterms:created xsi:type="dcterms:W3CDTF">2015-07-16T15:46:00Z</dcterms:created>
  <dcterms:modified xsi:type="dcterms:W3CDTF">2015-09-10T06:31:00Z</dcterms:modified>
</cp:coreProperties>
</file>