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E4" w:rsidRPr="00144AAE" w:rsidRDefault="00E531E4" w:rsidP="00E531E4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proofErr w:type="gramStart"/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</w:t>
      </w:r>
      <w:proofErr w:type="gram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T15 E 1200 x 600</w:t>
      </w:r>
    </w:p>
    <w:p w:rsidR="00E531E4" w:rsidRPr="00144AAE" w:rsidRDefault="00E531E4" w:rsidP="00E531E4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suspendu  QF</w:t>
      </w:r>
      <w:proofErr w:type="gramEnd"/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Blanka® T15 E 1200 x 600</w:t>
      </w:r>
      <w:r w:rsidR="005D4341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 X 20mm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5D4341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5D4341">
        <w:rPr>
          <w:rFonts w:cstheme="minorHAnsi"/>
          <w:b/>
          <w:sz w:val="20"/>
          <w:szCs w:val="20"/>
          <w:u w:val="single"/>
          <w:lang w:val="fr-BE"/>
        </w:rPr>
        <w:t>Description:</w:t>
      </w:r>
      <w:proofErr w:type="gramEnd"/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 xml:space="preserve"> 2,8 kg/m²) fabriqués à base de laine de roche non combustible et aseptique (satisfaisant à la directive EU 97/69 note Q).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>sont recouverts sur la face visible d’un voile minéral avec une finition lisse, mat et super blanche peint blanc (poids couche de finition env.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 xml:space="preserve"> 230 </w:t>
      </w:r>
      <w:bookmarkStart w:id="0" w:name="_GoBack"/>
      <w:bookmarkEnd w:id="0"/>
      <w:r w:rsidRPr="005D4341">
        <w:rPr>
          <w:rFonts w:cstheme="minorHAnsi"/>
          <w:noProof/>
          <w:sz w:val="20"/>
          <w:szCs w:val="20"/>
          <w:lang w:val="fr-BE"/>
        </w:rPr>
        <w:t>g/m²) type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>Rockfon Blanka®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>ou équivalent.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D4341">
        <w:rPr>
          <w:rFonts w:cstheme="minorHAnsi"/>
          <w:sz w:val="20"/>
          <w:szCs w:val="20"/>
          <w:lang w:val="fr-BE"/>
        </w:rPr>
        <w:t xml:space="preserve">  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>Rockfon® System T15 E™  est composé de panneaux pour plafond Shadowline (E) et du système Chicago Metallic™ T15 Hook 7500, composé de profilés porteurs et d'entretoises (dimensions de 15 x 38 mm) en acier galvanisé et recouvert d’un primer.  Les profilés porteurs sont posés tous les 1200 mm. Suspension à l'aide de suspentes rapides. Les entretoises de 1200 mm sont placées tous les 600 mm perpendiculairement sur les profilés porteurs. Une cornière de rive-L ou une cornière à joints creux de 15 x 8 x 12 x 15 mm est posé(e) sur le pourtour.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:rsidR="00E531E4" w:rsidRPr="005D4341" w:rsidRDefault="00E531E4" w:rsidP="00E531E4">
      <w:pPr>
        <w:spacing w:after="0" w:line="240" w:lineRule="auto"/>
        <w:rPr>
          <w:lang w:val="fr-BE"/>
        </w:rPr>
      </w:pPr>
    </w:p>
    <w:p w:rsidR="00E531E4" w:rsidRPr="005D4341" w:rsidRDefault="00E531E4" w:rsidP="00E531E4">
      <w:pPr>
        <w:spacing w:after="0" w:line="240" w:lineRule="auto"/>
        <w:rPr>
          <w:sz w:val="20"/>
          <w:szCs w:val="20"/>
          <w:lang w:val="fr-BE"/>
        </w:rPr>
      </w:pPr>
    </w:p>
    <w:p w:rsidR="00E531E4" w:rsidRPr="006E5F04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  <w:proofErr w:type="gramEnd"/>
    </w:p>
    <w:p w:rsidR="00E531E4" w:rsidRPr="006E5F04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1200 x 600 x 20 mm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FA057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E531E4" w:rsidRPr="00CD033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E531E4" w:rsidRPr="00CD033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E531E4" w:rsidRPr="00CD033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E531E4" w:rsidRPr="00CD033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E531E4" w:rsidRPr="00FA057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6E5F04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E531E4" w:rsidRPr="00FA057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E531E4" w:rsidRPr="00FA057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E531E4" w:rsidRPr="00FA0575" w:rsidRDefault="00E531E4" w:rsidP="00E531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FA0575" w:rsidRDefault="00E531E4" w:rsidP="00E531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823C84" w:rsidRDefault="00E531E4" w:rsidP="00E531E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E531E4" w:rsidRPr="005D4341" w:rsidRDefault="00E531E4" w:rsidP="00E531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E531E4" w:rsidRPr="005D4341" w:rsidRDefault="00E531E4" w:rsidP="00E531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E531E4" w:rsidRPr="00C24907" w:rsidRDefault="00E531E4" w:rsidP="00E531E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E531E4" w:rsidRPr="00050E55" w:rsidTr="00EA220C">
        <w:trPr>
          <w:cantSplit/>
        </w:trPr>
        <w:tc>
          <w:tcPr>
            <w:tcW w:w="1413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E531E4" w:rsidRPr="00050E55" w:rsidTr="00EA220C">
        <w:trPr>
          <w:cantSplit/>
        </w:trPr>
        <w:tc>
          <w:tcPr>
            <w:tcW w:w="1413" w:type="dxa"/>
          </w:tcPr>
          <w:p w:rsidR="00E531E4" w:rsidRPr="004E40B9" w:rsidRDefault="00E531E4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E531E4" w:rsidRPr="00144AAE" w:rsidRDefault="00E531E4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E531E4" w:rsidRPr="005D4341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E531E4" w:rsidRPr="00FA0575" w:rsidRDefault="00E531E4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</w:t>
            </w:r>
            <w:proofErr w:type="gramStart"/>
            <w:r w:rsidRPr="00FA0575">
              <w:rPr>
                <w:rFonts w:cstheme="minorHAnsi"/>
                <w:sz w:val="20"/>
                <w:szCs w:val="20"/>
                <w:lang w:val="fr-BE"/>
              </w:rPr>
              <w:t>2:</w:t>
            </w:r>
            <w:proofErr w:type="gramEnd"/>
            <w:r w:rsidRPr="00FA0575">
              <w:rPr>
                <w:rFonts w:cstheme="minorHAnsi"/>
                <w:sz w:val="20"/>
                <w:szCs w:val="20"/>
                <w:lang w:val="fr-BE"/>
              </w:rPr>
              <w:t>2016)</w:t>
            </w:r>
          </w:p>
        </w:tc>
      </w:tr>
      <w:tr w:rsidR="00E531E4" w:rsidRPr="00C156D3" w:rsidTr="00EA220C">
        <w:trPr>
          <w:cantSplit/>
        </w:trPr>
        <w:tc>
          <w:tcPr>
            <w:tcW w:w="2405" w:type="dxa"/>
          </w:tcPr>
          <w:p w:rsidR="00E531E4" w:rsidRPr="000F1AC9" w:rsidRDefault="00E531E4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106" w:type="dxa"/>
          </w:tcPr>
          <w:p w:rsidR="00E531E4" w:rsidRPr="00C156D3" w:rsidRDefault="00E531E4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Système</w:t>
            </w:r>
            <w:proofErr w:type="spellEnd"/>
          </w:p>
        </w:tc>
        <w:tc>
          <w:tcPr>
            <w:tcW w:w="1305" w:type="dxa"/>
          </w:tcPr>
          <w:p w:rsidR="00E531E4" w:rsidRPr="00C156D3" w:rsidRDefault="00E531E4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4535" w:type="dxa"/>
          </w:tcPr>
          <w:p w:rsidR="00E531E4" w:rsidRPr="00C156D3" w:rsidRDefault="00E531E4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Structure</w:t>
            </w:r>
            <w:proofErr w:type="spellEnd"/>
            <w:r w:rsidRPr="00FA0575">
              <w:rPr>
                <w:rFonts w:cstheme="minorHAnsi"/>
                <w:bCs/>
                <w:sz w:val="20"/>
                <w:szCs w:val="20"/>
              </w:rPr>
              <w:t xml:space="preserve"> du </w:t>
            </w: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soffit</w:t>
            </w:r>
            <w:proofErr w:type="spellEnd"/>
          </w:p>
        </w:tc>
      </w:tr>
      <w:tr w:rsidR="00E531E4" w:rsidRPr="005D4341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E531E4" w:rsidRPr="00C156D3" w:rsidRDefault="00E531E4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1200 x 600 x 20 mm</w:t>
            </w:r>
          </w:p>
        </w:tc>
        <w:tc>
          <w:tcPr>
            <w:tcW w:w="1106" w:type="dxa"/>
            <w:vMerge w:val="restart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T15 Hook 7500</w:t>
            </w:r>
          </w:p>
        </w:tc>
        <w:tc>
          <w:tcPr>
            <w:tcW w:w="1305" w:type="dxa"/>
          </w:tcPr>
          <w:p w:rsidR="00E531E4" w:rsidRPr="00C156D3" w:rsidRDefault="00E531E4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Stabilité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4535" w:type="dxa"/>
          </w:tcPr>
          <w:p w:rsidR="00E531E4" w:rsidRPr="00CD0331" w:rsidRDefault="00E531E4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E531E4" w:rsidRPr="00CD0331" w:rsidRDefault="00E531E4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:rsidR="00E531E4" w:rsidRPr="00CD0331" w:rsidRDefault="00E531E4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formé à froid (2)</w:t>
            </w:r>
          </w:p>
          <w:p w:rsidR="00E531E4" w:rsidRPr="00CD0331" w:rsidRDefault="00E531E4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  <w:p w:rsidR="00E531E4" w:rsidRPr="006E5F04" w:rsidRDefault="00E531E4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E531E4" w:rsidRPr="005D4341" w:rsidTr="00EA220C">
        <w:trPr>
          <w:cantSplit/>
          <w:trHeight w:val="165"/>
        </w:trPr>
        <w:tc>
          <w:tcPr>
            <w:tcW w:w="2405" w:type="dxa"/>
            <w:vMerge/>
          </w:tcPr>
          <w:p w:rsidR="00E531E4" w:rsidRPr="006E5F04" w:rsidRDefault="00E531E4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E531E4" w:rsidRPr="006E5F04" w:rsidRDefault="00E531E4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E531E4" w:rsidRPr="00C156D3" w:rsidRDefault="00E531E4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E531E4" w:rsidRPr="00CD0331" w:rsidRDefault="00E531E4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E531E4" w:rsidRPr="00FA0575" w:rsidRDefault="00E531E4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E531E4" w:rsidRPr="005D4341" w:rsidTr="00EA220C">
        <w:trPr>
          <w:cantSplit/>
          <w:trHeight w:val="165"/>
        </w:trPr>
        <w:tc>
          <w:tcPr>
            <w:tcW w:w="2405" w:type="dxa"/>
            <w:vMerge/>
          </w:tcPr>
          <w:p w:rsidR="00E531E4" w:rsidRPr="00FA0575" w:rsidRDefault="00E531E4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E531E4" w:rsidRPr="00FA0575" w:rsidRDefault="00E531E4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E531E4" w:rsidRPr="00C156D3" w:rsidRDefault="00E531E4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E531E4" w:rsidRPr="00CD0331" w:rsidRDefault="00E531E4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E531E4" w:rsidRPr="00CD0331" w:rsidRDefault="00E531E4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E531E4" w:rsidRPr="006E5F04" w:rsidRDefault="00E531E4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E531E4" w:rsidRPr="00CD0331" w:rsidRDefault="00E531E4" w:rsidP="00E531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E531E4" w:rsidRPr="00CD0331" w:rsidRDefault="00E531E4" w:rsidP="00E531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E531E4" w:rsidRPr="00823C84" w:rsidRDefault="00E531E4" w:rsidP="00E531E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E531E4" w:rsidRPr="00144AAE" w:rsidRDefault="00E531E4" w:rsidP="00E531E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2017-A-002.  Pour plus d'info veuillez contacter Rockfon.</w:t>
      </w:r>
    </w:p>
    <w:p w:rsidR="00E531E4" w:rsidRPr="00144AAE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E531E4" w:rsidRPr="007B34D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E531E4" w:rsidRPr="007B34D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CD033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E531E4" w:rsidRPr="007B34D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E531E4" w:rsidRPr="007B34D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:rsidR="00E531E4" w:rsidRPr="007B34D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5D434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5D434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 ou se nettoient au moyen d’un chiffon humide.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>Résistance frottement humide (EN ISO 11998:2007):  Classe 1.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5D434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>Durabilité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E531E4" w:rsidRPr="00144AAE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E531E4" w:rsidRPr="00144AAE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CD033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E531E4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proofErr w:type="gramStart"/>
      <w:r w:rsidRPr="00144AAE">
        <w:rPr>
          <w:rFonts w:cstheme="minorHAnsi"/>
          <w:sz w:val="20"/>
          <w:szCs w:val="20"/>
          <w:lang w:val="fr-BE"/>
        </w:rPr>
        <w:t>Unité: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/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E4"/>
    <w:rsid w:val="00566A59"/>
    <w:rsid w:val="005D4341"/>
    <w:rsid w:val="00E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ABF3"/>
  <w15:chartTrackingRefBased/>
  <w15:docId w15:val="{637F9854-78EF-4FE6-8C97-FB867EC5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E531E4"/>
    <w:rPr>
      <w:color w:val="008080"/>
    </w:rPr>
  </w:style>
  <w:style w:type="character" w:customStyle="1" w:styleId="Referentie">
    <w:name w:val="Referentie"/>
    <w:rsid w:val="00E531E4"/>
    <w:rPr>
      <w:color w:val="FF6600"/>
    </w:rPr>
  </w:style>
  <w:style w:type="character" w:customStyle="1" w:styleId="RevisieDatum">
    <w:name w:val="RevisieDatum"/>
    <w:rsid w:val="00E531E4"/>
    <w:rPr>
      <w:vanish/>
      <w:color w:val="auto"/>
    </w:rPr>
  </w:style>
  <w:style w:type="table" w:styleId="TableGrid">
    <w:name w:val="Table Grid"/>
    <w:basedOn w:val="TableNormal"/>
    <w:uiPriority w:val="59"/>
    <w:rsid w:val="00E5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B3E8C-6B80-4B77-92D9-61B603688623}"/>
</file>

<file path=customXml/itemProps2.xml><?xml version="1.0" encoding="utf-8"?>
<ds:datastoreItem xmlns:ds="http://schemas.openxmlformats.org/officeDocument/2006/customXml" ds:itemID="{685A78C3-D1C9-4CE7-87A3-2B18B6C60D53}"/>
</file>

<file path=customXml/itemProps3.xml><?xml version="1.0" encoding="utf-8"?>
<ds:datastoreItem xmlns:ds="http://schemas.openxmlformats.org/officeDocument/2006/customXml" ds:itemID="{BF9BA679-3B27-41BB-A05E-A27F1288D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2</cp:revision>
  <dcterms:created xsi:type="dcterms:W3CDTF">2020-02-17T15:10:00Z</dcterms:created>
  <dcterms:modified xsi:type="dcterms:W3CDTF">2020-02-17T15:10:00Z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